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3554" w14:textId="77777777" w:rsidR="006A3DF6" w:rsidRDefault="00000000">
      <w:pPr>
        <w:pStyle w:val="Plattetekst"/>
      </w:pPr>
      <w:r>
        <w:rPr>
          <w:noProof/>
        </w:rPr>
        <w:drawing>
          <wp:anchor distT="0" distB="0" distL="0" distR="0" simplePos="0" relativeHeight="2" behindDoc="0" locked="0" layoutInCell="0" allowOverlap="1" wp14:anchorId="146AE427" wp14:editId="63BF6FE7">
            <wp:simplePos x="0" y="0"/>
            <wp:positionH relativeFrom="column">
              <wp:posOffset>4772660</wp:posOffset>
            </wp:positionH>
            <wp:positionV relativeFrom="paragraph">
              <wp:posOffset>-398145</wp:posOffset>
            </wp:positionV>
            <wp:extent cx="1407160" cy="669925"/>
            <wp:effectExtent l="0" t="0" r="0" b="0"/>
            <wp:wrapSquare wrapText="bothSides"/>
            <wp:docPr id="1"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pic:cNvPicPr>
                      <a:picLocks noChangeAspect="1" noChangeArrowheads="1"/>
                    </pic:cNvPicPr>
                  </pic:nvPicPr>
                  <pic:blipFill>
                    <a:blip r:embed="rId5"/>
                    <a:stretch>
                      <a:fillRect/>
                    </a:stretch>
                  </pic:blipFill>
                  <pic:spPr bwMode="auto">
                    <a:xfrm>
                      <a:off x="0" y="0"/>
                      <a:ext cx="1407160" cy="669925"/>
                    </a:xfrm>
                    <a:prstGeom prst="rect">
                      <a:avLst/>
                    </a:prstGeom>
                  </pic:spPr>
                </pic:pic>
              </a:graphicData>
            </a:graphic>
          </wp:anchor>
        </w:drawing>
      </w:r>
    </w:p>
    <w:tbl>
      <w:tblPr>
        <w:tblW w:w="9936" w:type="dxa"/>
        <w:tblInd w:w="-114" w:type="dxa"/>
        <w:tblLayout w:type="fixed"/>
        <w:tblCellMar>
          <w:top w:w="55" w:type="dxa"/>
          <w:left w:w="55" w:type="dxa"/>
          <w:bottom w:w="55" w:type="dxa"/>
          <w:right w:w="55" w:type="dxa"/>
        </w:tblCellMar>
        <w:tblLook w:val="0000" w:firstRow="0" w:lastRow="0" w:firstColumn="0" w:lastColumn="0" w:noHBand="0" w:noVBand="0"/>
      </w:tblPr>
      <w:tblGrid>
        <w:gridCol w:w="3588"/>
        <w:gridCol w:w="6348"/>
      </w:tblGrid>
      <w:tr w:rsidR="006A3DF6" w14:paraId="4EB2509E" w14:textId="77777777">
        <w:tc>
          <w:tcPr>
            <w:tcW w:w="9936" w:type="dxa"/>
            <w:gridSpan w:val="2"/>
          </w:tcPr>
          <w:p w14:paraId="6AE783A5" w14:textId="7463DD7E" w:rsidR="006A3DF6" w:rsidRPr="00FD70C4" w:rsidRDefault="00FD70C4">
            <w:pPr>
              <w:jc w:val="center"/>
              <w:rPr>
                <w:b/>
                <w:bCs/>
                <w:sz w:val="28"/>
                <w:szCs w:val="28"/>
              </w:rPr>
            </w:pPr>
            <w:r w:rsidRPr="00FD70C4">
              <w:rPr>
                <w:b/>
                <w:bCs/>
                <w:sz w:val="28"/>
                <w:szCs w:val="28"/>
              </w:rPr>
              <w:t>VERKLARING VERJARING</w:t>
            </w:r>
          </w:p>
        </w:tc>
      </w:tr>
      <w:tr w:rsidR="006A3DF6" w14:paraId="66F9BC1B" w14:textId="77777777">
        <w:tc>
          <w:tcPr>
            <w:tcW w:w="9936" w:type="dxa"/>
            <w:gridSpan w:val="2"/>
          </w:tcPr>
          <w:p w14:paraId="29CBAB05" w14:textId="77777777" w:rsidR="006A3DF6" w:rsidRDefault="00000000">
            <w:r>
              <w:rPr>
                <w:rFonts w:cs="Times New Roman"/>
                <w:color w:val="000000"/>
                <w:spacing w:val="-2"/>
                <w:sz w:val="24"/>
                <w:lang w:eastAsia="nl-NL" w:bidi="ar-SA"/>
              </w:rPr>
              <w:t>De ondergetekenden:</w:t>
            </w:r>
          </w:p>
          <w:p w14:paraId="056CAEB2" w14:textId="77777777" w:rsidR="006A3DF6" w:rsidRDefault="006A3DF6">
            <w:pPr>
              <w:rPr>
                <w:rFonts w:cs="Times New Roman"/>
                <w:sz w:val="24"/>
                <w:lang w:eastAsia="nl-NL" w:bidi="ar-SA"/>
              </w:rPr>
            </w:pPr>
          </w:p>
          <w:p w14:paraId="357687E8" w14:textId="0D6EB150" w:rsidR="006A3DF6" w:rsidRDefault="00000000">
            <w:pPr>
              <w:pStyle w:val="standaard0"/>
              <w:numPr>
                <w:ilvl w:val="0"/>
                <w:numId w:val="3"/>
              </w:numPr>
            </w:pPr>
            <w:r>
              <w:rPr>
                <w:sz w:val="24"/>
                <w:szCs w:val="24"/>
              </w:rPr>
              <w:t xml:space="preserve">De gemeente  Ommen overeenkomstig artikel 171 van de Gemeentewet vertegenwoordigd namens de burgemeester door R. Olde Kalter, teamleider Domein Openbaar Grondgebied en als zodanig handelend ter uitvoering van zijn besluit namens burgemeester en wethouders van Ommen d.d. 23 augustus 2022, handelend op basis van de Nadere regeling delegatie en mandaat van de gemeente Ommen </w:t>
            </w:r>
            <w:r w:rsidR="00FD70C4">
              <w:rPr>
                <w:sz w:val="24"/>
                <w:szCs w:val="24"/>
              </w:rPr>
              <w:t>2 april 2019</w:t>
            </w:r>
            <w:r w:rsidR="00F265C4">
              <w:rPr>
                <w:sz w:val="24"/>
                <w:szCs w:val="24"/>
              </w:rPr>
              <w:t>,</w:t>
            </w:r>
          </w:p>
          <w:p w14:paraId="1F488D53" w14:textId="77777777" w:rsidR="006A3DF6" w:rsidRDefault="006A3DF6">
            <w:pPr>
              <w:ind w:left="720"/>
              <w:rPr>
                <w:sz w:val="24"/>
              </w:rPr>
            </w:pPr>
          </w:p>
          <w:p w14:paraId="3D626BEA" w14:textId="39D75226" w:rsidR="006A3DF6" w:rsidRDefault="00000000">
            <w:pPr>
              <w:ind w:left="720"/>
            </w:pPr>
            <w:r>
              <w:rPr>
                <w:rFonts w:cs="Times New Roman"/>
                <w:sz w:val="24"/>
                <w:lang w:eastAsia="nl-NL" w:bidi="ar-SA"/>
              </w:rPr>
              <w:t>hierna te noemen: “gemeente”,</w:t>
            </w:r>
            <w:r w:rsidR="00F265C4">
              <w:rPr>
                <w:rFonts w:cs="Times New Roman"/>
                <w:sz w:val="24"/>
                <w:lang w:eastAsia="nl-NL" w:bidi="ar-SA"/>
              </w:rPr>
              <w:t>en</w:t>
            </w:r>
          </w:p>
          <w:p w14:paraId="03D2C3C8" w14:textId="77777777" w:rsidR="006A3DF6" w:rsidRDefault="006A3DF6">
            <w:pPr>
              <w:ind w:left="720"/>
              <w:rPr>
                <w:sz w:val="24"/>
              </w:rPr>
            </w:pPr>
          </w:p>
          <w:p w14:paraId="47AD85FB" w14:textId="5E0A182E" w:rsidR="006A3DF6" w:rsidRDefault="00F265C4">
            <w:pPr>
              <w:numPr>
                <w:ilvl w:val="0"/>
                <w:numId w:val="3"/>
              </w:numPr>
              <w:tabs>
                <w:tab w:val="clear" w:pos="720"/>
                <w:tab w:val="left" w:pos="0"/>
              </w:tabs>
              <w:rPr>
                <w:sz w:val="24"/>
              </w:rPr>
            </w:pPr>
            <w:r>
              <w:rPr>
                <w:rFonts w:cs="Times New Roman"/>
                <w:sz w:val="24"/>
                <w:lang w:eastAsia="nl-NL" w:bidi="ar-SA"/>
              </w:rPr>
              <w:t>_____________ , wonende ____________________te ___________________, hierna te noemen:</w:t>
            </w:r>
          </w:p>
        </w:tc>
      </w:tr>
      <w:tr w:rsidR="006A3DF6" w14:paraId="0F1CAE62" w14:textId="77777777">
        <w:tc>
          <w:tcPr>
            <w:tcW w:w="9936" w:type="dxa"/>
            <w:gridSpan w:val="2"/>
          </w:tcPr>
          <w:p w14:paraId="27954201" w14:textId="04EC4BE3" w:rsidR="006A3DF6" w:rsidRDefault="00000000">
            <w:r>
              <w:rPr>
                <w:rFonts w:cs="Times New Roman"/>
                <w:sz w:val="24"/>
                <w:lang w:eastAsia="nl-NL" w:bidi="ar-SA"/>
              </w:rPr>
              <w:t>hierna te noemen: “verkrijger(s)”,</w:t>
            </w:r>
            <w:r w:rsidR="00F265C4">
              <w:t xml:space="preserve"> </w:t>
            </w:r>
            <w:r>
              <w:rPr>
                <w:rFonts w:cs="Times New Roman"/>
                <w:sz w:val="24"/>
                <w:lang w:eastAsia="nl-NL" w:bidi="ar-SA"/>
              </w:rPr>
              <w:t>zijn het volgende overeengekomen:</w:t>
            </w:r>
          </w:p>
          <w:p w14:paraId="2411DC4F" w14:textId="77777777" w:rsidR="006A3DF6" w:rsidRDefault="006A3DF6">
            <w:pPr>
              <w:rPr>
                <w:rFonts w:cs="Times New Roman"/>
                <w:sz w:val="24"/>
                <w:lang w:eastAsia="nl-NL" w:bidi="ar-SA"/>
              </w:rPr>
            </w:pPr>
          </w:p>
          <w:p w14:paraId="5C3D8229" w14:textId="2365A286" w:rsidR="006A3DF6" w:rsidRDefault="00000000">
            <w:pPr>
              <w:numPr>
                <w:ilvl w:val="0"/>
                <w:numId w:val="2"/>
              </w:numPr>
              <w:tabs>
                <w:tab w:val="left" w:pos="-720"/>
              </w:tabs>
            </w:pPr>
            <w:r>
              <w:rPr>
                <w:rFonts w:cs="Times New Roman"/>
                <w:sz w:val="24"/>
                <w:lang w:eastAsia="nl-NL" w:bidi="ar-SA"/>
              </w:rPr>
              <w:t>Verkrijger</w:t>
            </w:r>
            <w:r>
              <w:rPr>
                <w:sz w:val="24"/>
                <w:lang w:eastAsia="nl-NL" w:bidi="ar-SA"/>
              </w:rPr>
              <w:t xml:space="preserve">(s) heeft/hebben aangetoond dat de grond, zoals aangegeven op bijgevoegde situatieschets, minstens 20 jaar in bezit is bij verkrijger(s), al dan niet in combinatie met grondbezit van de rechtsvoorganger(s). Hierdoor is/zijn verkrijger(s) door verjaring eigenaar geworden van een perceel grond gelegen aan de </w:t>
            </w:r>
            <w:r>
              <w:rPr>
                <w:rFonts w:cs="Times New Roman"/>
                <w:sz w:val="24"/>
                <w:lang w:eastAsia="nl-NL" w:bidi="ar-SA"/>
              </w:rPr>
              <w:t xml:space="preserve">, ter grootte van ongeveer </w:t>
            </w:r>
            <w:r w:rsidR="00F265C4">
              <w:rPr>
                <w:rFonts w:cs="Times New Roman"/>
                <w:sz w:val="24"/>
                <w:lang w:eastAsia="nl-NL" w:bidi="ar-SA"/>
              </w:rPr>
              <w:t>___ m2</w:t>
            </w:r>
            <w:r>
              <w:rPr>
                <w:rFonts w:cs="Times New Roman"/>
                <w:sz w:val="24"/>
                <w:lang w:eastAsia="nl-NL" w:bidi="ar-SA"/>
              </w:rPr>
              <w:t xml:space="preserve">, kadastraal </w:t>
            </w:r>
            <w:r w:rsidR="00F265C4">
              <w:rPr>
                <w:rFonts w:cs="Times New Roman"/>
                <w:sz w:val="24"/>
                <w:lang w:eastAsia="nl-NL" w:bidi="ar-SA"/>
              </w:rPr>
              <w:t>bekend ______________</w:t>
            </w:r>
            <w:r>
              <w:rPr>
                <w:rFonts w:cs="Times New Roman"/>
                <w:sz w:val="24"/>
                <w:lang w:eastAsia="nl-NL" w:bidi="ar-SA"/>
              </w:rPr>
              <w:t xml:space="preserve"> , sectie , nummer</w:t>
            </w:r>
            <w:r w:rsidR="00F265C4">
              <w:rPr>
                <w:rFonts w:cs="Times New Roman"/>
                <w:sz w:val="24"/>
                <w:lang w:eastAsia="nl-NL" w:bidi="ar-SA"/>
              </w:rPr>
              <w:t xml:space="preserve"> ___</w:t>
            </w:r>
            <w:r>
              <w:rPr>
                <w:rFonts w:cs="Times New Roman"/>
                <w:sz w:val="24"/>
                <w:lang w:eastAsia="nl-NL" w:bidi="ar-SA"/>
              </w:rPr>
              <w:t xml:space="preserve"> (ged.);</w:t>
            </w:r>
          </w:p>
          <w:p w14:paraId="3EB75954" w14:textId="77777777" w:rsidR="006A3DF6" w:rsidRDefault="00000000">
            <w:pPr>
              <w:numPr>
                <w:ilvl w:val="0"/>
                <w:numId w:val="2"/>
              </w:numPr>
              <w:tabs>
                <w:tab w:val="left" w:pos="-720"/>
              </w:tabs>
            </w:pPr>
            <w:r>
              <w:rPr>
                <w:rFonts w:cs="Times New Roman"/>
                <w:sz w:val="24"/>
                <w:lang w:eastAsia="nl-NL" w:bidi="ar-SA"/>
              </w:rPr>
              <w:t>Gemeente betwist deze verjaring niet;</w:t>
            </w:r>
          </w:p>
          <w:p w14:paraId="1AEABDB7" w14:textId="77777777" w:rsidR="006A3DF6" w:rsidRDefault="00000000">
            <w:pPr>
              <w:numPr>
                <w:ilvl w:val="0"/>
                <w:numId w:val="2"/>
              </w:numPr>
              <w:tabs>
                <w:tab w:val="left" w:pos="-720"/>
              </w:tabs>
            </w:pPr>
            <w:r>
              <w:rPr>
                <w:rFonts w:cs="Times New Roman"/>
                <w:sz w:val="24"/>
                <w:lang w:eastAsia="nl-NL" w:bidi="ar-SA"/>
              </w:rPr>
              <w:t>Gemeente en verkrijger(s) stemmen in met inschrijving in openbare registers;</w:t>
            </w:r>
          </w:p>
          <w:p w14:paraId="3A7CD2EC" w14:textId="77777777" w:rsidR="006A3DF6" w:rsidRDefault="00000000">
            <w:pPr>
              <w:numPr>
                <w:ilvl w:val="0"/>
                <w:numId w:val="2"/>
              </w:numPr>
              <w:tabs>
                <w:tab w:val="left" w:pos="-720"/>
              </w:tabs>
            </w:pPr>
            <w:r>
              <w:rPr>
                <w:rFonts w:cs="Times New Roman"/>
                <w:sz w:val="24"/>
                <w:lang w:eastAsia="nl-NL" w:bidi="ar-SA"/>
              </w:rPr>
              <w:t>De voor de overdracht vereiste akte zal worden verleden door een door de verkrijger(s) nader te bepalen notaris;</w:t>
            </w:r>
          </w:p>
          <w:p w14:paraId="61B47F79" w14:textId="77777777" w:rsidR="006A3DF6" w:rsidRDefault="00000000">
            <w:pPr>
              <w:numPr>
                <w:ilvl w:val="0"/>
                <w:numId w:val="2"/>
              </w:numPr>
              <w:tabs>
                <w:tab w:val="left" w:pos="-720"/>
              </w:tabs>
            </w:pPr>
            <w:r>
              <w:rPr>
                <w:rFonts w:cs="Times New Roman"/>
                <w:sz w:val="24"/>
                <w:lang w:eastAsia="nl-NL" w:bidi="ar-SA"/>
              </w:rPr>
              <w:t>De akte van levering zal gepasseerd worden op een nader overeen te komen datum maar binnen een termijn van drie maanden na ondertekening van deze verklaring;</w:t>
            </w:r>
          </w:p>
          <w:p w14:paraId="648B39B2" w14:textId="77777777" w:rsidR="006A3DF6" w:rsidRDefault="00000000">
            <w:pPr>
              <w:numPr>
                <w:ilvl w:val="0"/>
                <w:numId w:val="2"/>
              </w:numPr>
              <w:tabs>
                <w:tab w:val="left" w:pos="-720"/>
              </w:tabs>
            </w:pPr>
            <w:r>
              <w:rPr>
                <w:rFonts w:cs="Times New Roman"/>
                <w:sz w:val="24"/>
                <w:lang w:eastAsia="nl-NL" w:bidi="ar-SA"/>
              </w:rPr>
              <w:t>Alle kosten welke voortvloeien uit de verjaring, waaronder begrepen de notariskosten en het kadastrale recht, zijn voor rekening van verkrijger;</w:t>
            </w:r>
          </w:p>
          <w:p w14:paraId="4C313B5A" w14:textId="77777777" w:rsidR="006A3DF6" w:rsidRDefault="00000000">
            <w:pPr>
              <w:numPr>
                <w:ilvl w:val="0"/>
                <w:numId w:val="2"/>
              </w:numPr>
              <w:tabs>
                <w:tab w:val="left" w:pos="-720"/>
              </w:tabs>
            </w:pPr>
            <w:r>
              <w:rPr>
                <w:rFonts w:cs="Times New Roman"/>
                <w:sz w:val="24"/>
                <w:lang w:eastAsia="nl-NL" w:bidi="ar-SA"/>
              </w:rPr>
              <w:t>De betaling van deze kosten zal door de verkrijger geschieden uiterlijk op de datum waarop de notariële akte zal worden verleden.</w:t>
            </w:r>
          </w:p>
          <w:p w14:paraId="17BED5CC" w14:textId="77777777" w:rsidR="006A3DF6" w:rsidRDefault="00000000">
            <w:pPr>
              <w:numPr>
                <w:ilvl w:val="0"/>
                <w:numId w:val="2"/>
              </w:numPr>
              <w:tabs>
                <w:tab w:val="left" w:pos="-720"/>
              </w:tabs>
            </w:pPr>
            <w:r>
              <w:rPr>
                <w:rFonts w:cs="Times New Roman"/>
                <w:sz w:val="24"/>
                <w:lang w:eastAsia="nl-NL" w:bidi="ar-SA"/>
              </w:rPr>
              <w:t>Gemeente en verkrijger geven op grond van artikel 104 Kadasterregeling toestemming aan het Kadaster om het nieuwe perceel te vormen zonder onderzoek ter plaatse en zonder meting. Gemeente en verkrijger stellen aan het Kadaster zodanige, door gemeente en verkrijger goedgekeurde, gegevens ter beschikking dat over de ligging van de grenzen en de rechtstoestand geen twijfel bestaat.</w:t>
            </w:r>
          </w:p>
        </w:tc>
      </w:tr>
      <w:tr w:rsidR="006A3DF6" w14:paraId="3084419E" w14:textId="77777777">
        <w:tc>
          <w:tcPr>
            <w:tcW w:w="9936" w:type="dxa"/>
            <w:gridSpan w:val="2"/>
          </w:tcPr>
          <w:p w14:paraId="5ED51B46" w14:textId="633D14E4" w:rsidR="006A3DF6" w:rsidRDefault="00000000">
            <w:pPr>
              <w:pStyle w:val="TableContents"/>
              <w:rPr>
                <w:sz w:val="24"/>
              </w:rPr>
            </w:pPr>
            <w:r>
              <w:rPr>
                <w:sz w:val="24"/>
              </w:rPr>
              <w:t xml:space="preserve">Aldus opgemaakt en getekend te </w:t>
            </w:r>
            <w:r w:rsidR="00F265C4">
              <w:rPr>
                <w:sz w:val="24"/>
              </w:rPr>
              <w:t>Hardenberg</w:t>
            </w:r>
            <w:r>
              <w:rPr>
                <w:sz w:val="24"/>
              </w:rPr>
              <w:t xml:space="preserve"> op </w:t>
            </w:r>
            <w:r w:rsidR="00F265C4">
              <w:rPr>
                <w:sz w:val="24"/>
              </w:rPr>
              <w:t>________________________ 20___.</w:t>
            </w:r>
            <w:r>
              <w:rPr>
                <w:sz w:val="24"/>
              </w:rPr>
              <w:t xml:space="preserve"> </w:t>
            </w:r>
          </w:p>
        </w:tc>
      </w:tr>
      <w:tr w:rsidR="006A3DF6" w14:paraId="61B12E48" w14:textId="77777777">
        <w:tc>
          <w:tcPr>
            <w:tcW w:w="3588" w:type="dxa"/>
          </w:tcPr>
          <w:p w14:paraId="1EB78425" w14:textId="7A9ACD88" w:rsidR="006A3DF6" w:rsidRDefault="00000000">
            <w:pPr>
              <w:pStyle w:val="TableContents"/>
              <w:rPr>
                <w:sz w:val="24"/>
              </w:rPr>
            </w:pPr>
            <w:r>
              <w:rPr>
                <w:sz w:val="24"/>
              </w:rPr>
              <w:t>Gemeente:</w:t>
            </w:r>
          </w:p>
          <w:p w14:paraId="01553CF6" w14:textId="77777777" w:rsidR="006A3DF6" w:rsidRDefault="006A3DF6">
            <w:pPr>
              <w:pStyle w:val="TableContents"/>
              <w:rPr>
                <w:sz w:val="24"/>
              </w:rPr>
            </w:pPr>
          </w:p>
          <w:p w14:paraId="3E1061B7" w14:textId="77777777" w:rsidR="006A3DF6" w:rsidRDefault="006A3DF6">
            <w:pPr>
              <w:pStyle w:val="TableContents"/>
              <w:rPr>
                <w:sz w:val="24"/>
              </w:rPr>
            </w:pPr>
          </w:p>
          <w:p w14:paraId="158173BD" w14:textId="5E4FAB00" w:rsidR="006A3DF6" w:rsidRDefault="00F265C4">
            <w:pPr>
              <w:pStyle w:val="TableContents"/>
              <w:rPr>
                <w:sz w:val="24"/>
              </w:rPr>
            </w:pPr>
            <w:r>
              <w:rPr>
                <w:sz w:val="24"/>
              </w:rPr>
              <w:t>Naam</w:t>
            </w:r>
          </w:p>
          <w:p w14:paraId="2241D8D4" w14:textId="6D6FF1C4" w:rsidR="006A3DF6" w:rsidRDefault="00F265C4">
            <w:pPr>
              <w:pStyle w:val="TableContents"/>
              <w:rPr>
                <w:sz w:val="24"/>
              </w:rPr>
            </w:pPr>
            <w:r>
              <w:rPr>
                <w:sz w:val="24"/>
              </w:rPr>
              <w:t>Teamleider</w:t>
            </w:r>
          </w:p>
        </w:tc>
        <w:tc>
          <w:tcPr>
            <w:tcW w:w="6348" w:type="dxa"/>
          </w:tcPr>
          <w:p w14:paraId="5327F536" w14:textId="31F41423" w:rsidR="006A3DF6" w:rsidRDefault="00000000">
            <w:pPr>
              <w:pStyle w:val="TableContents"/>
              <w:rPr>
                <w:sz w:val="24"/>
              </w:rPr>
            </w:pPr>
            <w:r>
              <w:rPr>
                <w:sz w:val="24"/>
              </w:rPr>
              <w:t>Verkrijger:</w:t>
            </w:r>
          </w:p>
          <w:p w14:paraId="241374EB" w14:textId="77777777" w:rsidR="006A3DF6" w:rsidRDefault="006A3DF6">
            <w:pPr>
              <w:pStyle w:val="TableContents"/>
              <w:rPr>
                <w:sz w:val="24"/>
              </w:rPr>
            </w:pPr>
          </w:p>
          <w:p w14:paraId="19791AD7" w14:textId="77777777" w:rsidR="006A3DF6" w:rsidRDefault="006A3DF6">
            <w:pPr>
              <w:pStyle w:val="TableContents"/>
              <w:rPr>
                <w:sz w:val="24"/>
              </w:rPr>
            </w:pPr>
          </w:p>
          <w:p w14:paraId="72C098C2" w14:textId="3DEFC20C" w:rsidR="006A3DF6" w:rsidRDefault="00F265C4">
            <w:pPr>
              <w:pStyle w:val="TableContents"/>
              <w:rPr>
                <w:sz w:val="24"/>
              </w:rPr>
            </w:pPr>
            <w:r>
              <w:rPr>
                <w:sz w:val="24"/>
              </w:rPr>
              <w:t>Naam</w:t>
            </w:r>
            <w:r w:rsidR="00000000">
              <w:rPr>
                <w:sz w:val="24"/>
              </w:rPr>
              <w:t xml:space="preserve">                 </w:t>
            </w:r>
          </w:p>
        </w:tc>
      </w:tr>
    </w:tbl>
    <w:p w14:paraId="49BDE0EE" w14:textId="1FCBD8D0" w:rsidR="006A3DF6" w:rsidRDefault="006A3DF6"/>
    <w:p w14:paraId="6A496785" w14:textId="1D154FDB" w:rsidR="00F265C4" w:rsidRDefault="00F265C4"/>
    <w:p w14:paraId="55A545AC" w14:textId="1842ED69" w:rsidR="00F265C4" w:rsidRDefault="00F265C4">
      <w:r>
        <w:tab/>
      </w:r>
      <w:r>
        <w:tab/>
      </w:r>
      <w:r>
        <w:tab/>
      </w:r>
      <w:r>
        <w:tab/>
      </w:r>
      <w:r>
        <w:tab/>
        <w:t>Naam</w:t>
      </w:r>
    </w:p>
    <w:sectPr w:rsidR="00F265C4">
      <w:pgSz w:w="11906" w:h="16838"/>
      <w:pgMar w:top="1134" w:right="1134" w:bottom="1134" w:left="1134" w:header="0" w:footer="0" w:gutter="0"/>
      <w:cols w:space="708"/>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Liberation Serif">
    <w:altName w:val="Times New Roman"/>
    <w:panose1 w:val="02020603050405020304"/>
    <w:charset w:val="01"/>
    <w:family w:val="roman"/>
    <w:pitch w:val="variable"/>
    <w:sig w:usb0="E0000AFF" w:usb1="500078FF" w:usb2="00000021" w:usb3="00000000" w:csb0="000001BF" w:csb1="00000000"/>
  </w:font>
  <w:font w:name="Songti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Liberation Sans">
    <w:altName w:val="Arial"/>
    <w:panose1 w:val="020B0604020202020204"/>
    <w:charset w:val="01"/>
    <w:family w:val="swiss"/>
    <w:pitch w:val="variable"/>
    <w:sig w:usb0="E0000AFF" w:usb1="500078FF" w:usb2="00000021" w:usb3="00000000" w:csb0="000001BF" w:csb1="00000000"/>
  </w:font>
  <w:font w:name="PingFang SC">
    <w:panose1 w:val="00000000000000000000"/>
    <w:charset w:val="00"/>
    <w:family w:val="roman"/>
    <w:notTrueType/>
    <w:pitch w:val="default"/>
  </w:font>
  <w:font w:name="OpenSymbol">
    <w:altName w:val="Arial Unicode MS"/>
    <w:panose1 w:val="05010000000000000000"/>
    <w:charset w:val="01"/>
    <w:family w:val="auto"/>
    <w:pitch w:val="variable"/>
    <w:sig w:usb0="800000AF" w:usb1="1001ECE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DD7"/>
    <w:multiLevelType w:val="multilevel"/>
    <w:tmpl w:val="51B01CF8"/>
    <w:lvl w:ilvl="0">
      <w:start w:val="1"/>
      <w:numFmt w:val="none"/>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9376FA7"/>
    <w:multiLevelType w:val="multilevel"/>
    <w:tmpl w:val="3E326B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1141C4F"/>
    <w:multiLevelType w:val="multilevel"/>
    <w:tmpl w:val="8A80F860"/>
    <w:lvl w:ilvl="0">
      <w:start w:val="1"/>
      <w:numFmt w:val="decimal"/>
      <w:lvlText w:val="%1."/>
      <w:lvlJc w:val="left"/>
      <w:pPr>
        <w:tabs>
          <w:tab w:val="num" w:pos="720"/>
        </w:tabs>
        <w:ind w:left="720" w:hanging="360"/>
      </w:pPr>
      <w:rPr>
        <w:rFonts w:ascii="Corbel" w:eastAsia="Corbel" w:hAnsi="Corbel" w:cs="Corbel"/>
        <w:sz w:val="22"/>
        <w:szCs w:val="22"/>
      </w:rPr>
    </w:lvl>
    <w:lvl w:ilvl="1">
      <w:start w:val="1"/>
      <w:numFmt w:val="decimal"/>
      <w:lvlText w:val="%2."/>
      <w:lvlJc w:val="left"/>
      <w:pPr>
        <w:tabs>
          <w:tab w:val="num" w:pos="1080"/>
        </w:tabs>
        <w:ind w:left="1080" w:hanging="360"/>
      </w:pPr>
      <w:rPr>
        <w:rFonts w:ascii="Corbel" w:eastAsia="Corbel" w:hAnsi="Corbel" w:cs="Corbel"/>
        <w:sz w:val="22"/>
        <w:szCs w:val="22"/>
      </w:rPr>
    </w:lvl>
    <w:lvl w:ilvl="2">
      <w:start w:val="1"/>
      <w:numFmt w:val="decimal"/>
      <w:lvlText w:val="%3."/>
      <w:lvlJc w:val="left"/>
      <w:pPr>
        <w:tabs>
          <w:tab w:val="num" w:pos="1440"/>
        </w:tabs>
        <w:ind w:left="1440" w:hanging="360"/>
      </w:pPr>
      <w:rPr>
        <w:rFonts w:ascii="Corbel" w:eastAsia="Corbel" w:hAnsi="Corbel" w:cs="Corbel"/>
        <w:sz w:val="22"/>
        <w:szCs w:val="22"/>
      </w:rPr>
    </w:lvl>
    <w:lvl w:ilvl="3">
      <w:start w:val="1"/>
      <w:numFmt w:val="decimal"/>
      <w:lvlText w:val="%4."/>
      <w:lvlJc w:val="left"/>
      <w:pPr>
        <w:tabs>
          <w:tab w:val="num" w:pos="1800"/>
        </w:tabs>
        <w:ind w:left="1800" w:hanging="360"/>
      </w:pPr>
      <w:rPr>
        <w:rFonts w:ascii="Corbel" w:eastAsia="Corbel" w:hAnsi="Corbel" w:cs="Corbel"/>
        <w:sz w:val="22"/>
        <w:szCs w:val="22"/>
      </w:rPr>
    </w:lvl>
    <w:lvl w:ilvl="4">
      <w:start w:val="1"/>
      <w:numFmt w:val="decimal"/>
      <w:lvlText w:val="%5."/>
      <w:lvlJc w:val="left"/>
      <w:pPr>
        <w:tabs>
          <w:tab w:val="num" w:pos="2160"/>
        </w:tabs>
        <w:ind w:left="2160" w:hanging="360"/>
      </w:pPr>
      <w:rPr>
        <w:rFonts w:ascii="Corbel" w:eastAsia="Corbel" w:hAnsi="Corbel" w:cs="Corbel"/>
        <w:sz w:val="22"/>
        <w:szCs w:val="22"/>
      </w:rPr>
    </w:lvl>
    <w:lvl w:ilvl="5">
      <w:start w:val="1"/>
      <w:numFmt w:val="decimal"/>
      <w:lvlText w:val="%6."/>
      <w:lvlJc w:val="left"/>
      <w:pPr>
        <w:tabs>
          <w:tab w:val="num" w:pos="2520"/>
        </w:tabs>
        <w:ind w:left="2520" w:hanging="360"/>
      </w:pPr>
      <w:rPr>
        <w:rFonts w:ascii="Corbel" w:eastAsia="Corbel" w:hAnsi="Corbel" w:cs="Corbel"/>
        <w:sz w:val="22"/>
        <w:szCs w:val="22"/>
      </w:rPr>
    </w:lvl>
    <w:lvl w:ilvl="6">
      <w:start w:val="1"/>
      <w:numFmt w:val="decimal"/>
      <w:lvlText w:val="%7."/>
      <w:lvlJc w:val="left"/>
      <w:pPr>
        <w:tabs>
          <w:tab w:val="num" w:pos="2880"/>
        </w:tabs>
        <w:ind w:left="2880" w:hanging="360"/>
      </w:pPr>
      <w:rPr>
        <w:rFonts w:ascii="Corbel" w:eastAsia="Corbel" w:hAnsi="Corbel" w:cs="Corbel"/>
        <w:sz w:val="22"/>
        <w:szCs w:val="22"/>
      </w:rPr>
    </w:lvl>
    <w:lvl w:ilvl="7">
      <w:start w:val="1"/>
      <w:numFmt w:val="decimal"/>
      <w:lvlText w:val="%8."/>
      <w:lvlJc w:val="left"/>
      <w:pPr>
        <w:tabs>
          <w:tab w:val="num" w:pos="3240"/>
        </w:tabs>
        <w:ind w:left="3240" w:hanging="360"/>
      </w:pPr>
      <w:rPr>
        <w:rFonts w:ascii="Corbel" w:eastAsia="Corbel" w:hAnsi="Corbel" w:cs="Corbel"/>
        <w:sz w:val="22"/>
        <w:szCs w:val="22"/>
      </w:rPr>
    </w:lvl>
    <w:lvl w:ilvl="8">
      <w:start w:val="1"/>
      <w:numFmt w:val="decimal"/>
      <w:lvlText w:val="%9."/>
      <w:lvlJc w:val="left"/>
      <w:pPr>
        <w:tabs>
          <w:tab w:val="num" w:pos="3600"/>
        </w:tabs>
        <w:ind w:left="3600" w:hanging="360"/>
      </w:pPr>
      <w:rPr>
        <w:rFonts w:ascii="Corbel" w:eastAsia="Corbel" w:hAnsi="Corbel" w:cs="Corbel"/>
        <w:sz w:val="22"/>
        <w:szCs w:val="22"/>
      </w:rPr>
    </w:lvl>
  </w:abstractNum>
  <w:num w:numId="1" w16cid:durableId="1692995710">
    <w:abstractNumId w:val="0"/>
  </w:num>
  <w:num w:numId="2" w16cid:durableId="69354015">
    <w:abstractNumId w:val="1"/>
  </w:num>
  <w:num w:numId="3" w16cid:durableId="394355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DF6"/>
    <w:rsid w:val="006A3DF6"/>
    <w:rsid w:val="00AF291E"/>
    <w:rsid w:val="00F265C4"/>
    <w:rsid w:val="00FD70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38B2"/>
  <w15:docId w15:val="{E3DAC9F0-78F1-4E80-8CDC-F915188E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Corbel" w:eastAsia="Corbel" w:hAnsi="Corbel" w:cs="Corbel"/>
      <w:sz w:val="22"/>
    </w:rPr>
  </w:style>
  <w:style w:type="paragraph" w:styleId="Kop2">
    <w:name w:val="heading 2"/>
    <w:basedOn w:val="Heading"/>
    <w:next w:val="Plattetekst"/>
    <w:uiPriority w:val="9"/>
    <w:semiHidden/>
    <w:unhideWhenUsed/>
    <w:qFormat/>
    <w:pPr>
      <w:numPr>
        <w:ilvl w:val="1"/>
        <w:numId w:val="1"/>
      </w:numPr>
      <w:spacing w:before="200" w:after="0"/>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80"/>
      <w:u w:val="single"/>
    </w:rPr>
  </w:style>
  <w:style w:type="character" w:customStyle="1" w:styleId="NumberingSymbols">
    <w:name w:val="Numbering Symbols"/>
    <w:qFormat/>
    <w:rPr>
      <w:rFonts w:ascii="Corbel" w:eastAsia="Corbel" w:hAnsi="Corbel" w:cs="Corbel"/>
      <w:sz w:val="22"/>
      <w:szCs w:val="22"/>
    </w:rPr>
  </w:style>
  <w:style w:type="character" w:customStyle="1" w:styleId="Bullets">
    <w:name w:val="Bullets"/>
    <w:qFormat/>
    <w:rPr>
      <w:rFonts w:ascii="OpenSymbol" w:eastAsia="OpenSymbol" w:hAnsi="OpenSymbol" w:cs="OpenSymbol"/>
    </w:rPr>
  </w:style>
  <w:style w:type="character" w:customStyle="1" w:styleId="WWCharLFO1LVL1">
    <w:name w:val="WW_CharLFO1LVL1"/>
    <w:qFormat/>
    <w:rPr>
      <w:rFonts w:ascii="OpenSymbol" w:hAnsi="OpenSymbol"/>
      <w:sz w:val="22"/>
      <w:szCs w:val="22"/>
    </w:rPr>
  </w:style>
  <w:style w:type="character" w:customStyle="1" w:styleId="WWCharLFO1LVL2">
    <w:name w:val="WW_CharLFO1LVL2"/>
    <w:qFormat/>
    <w:rPr>
      <w:rFonts w:ascii="OpenSymbol" w:hAnsi="OpenSymbol"/>
      <w:sz w:val="22"/>
      <w:szCs w:val="22"/>
    </w:rPr>
  </w:style>
  <w:style w:type="character" w:customStyle="1" w:styleId="WWCharLFO1LVL3">
    <w:name w:val="WW_CharLFO1LVL3"/>
    <w:qFormat/>
    <w:rPr>
      <w:rFonts w:ascii="OpenSymbol" w:hAnsi="OpenSymbol"/>
      <w:sz w:val="22"/>
      <w:szCs w:val="22"/>
    </w:rPr>
  </w:style>
  <w:style w:type="character" w:customStyle="1" w:styleId="WWCharLFO1LVL4">
    <w:name w:val="WW_CharLFO1LVL4"/>
    <w:qFormat/>
    <w:rPr>
      <w:rFonts w:ascii="OpenSymbol" w:hAnsi="OpenSymbol"/>
      <w:sz w:val="22"/>
      <w:szCs w:val="22"/>
    </w:rPr>
  </w:style>
  <w:style w:type="character" w:customStyle="1" w:styleId="WWCharLFO1LVL5">
    <w:name w:val="WW_CharLFO1LVL5"/>
    <w:qFormat/>
    <w:rPr>
      <w:rFonts w:ascii="OpenSymbol" w:hAnsi="OpenSymbol"/>
      <w:sz w:val="22"/>
      <w:szCs w:val="22"/>
    </w:rPr>
  </w:style>
  <w:style w:type="character" w:customStyle="1" w:styleId="WWCharLFO1LVL6">
    <w:name w:val="WW_CharLFO1LVL6"/>
    <w:qFormat/>
    <w:rPr>
      <w:rFonts w:ascii="OpenSymbol" w:hAnsi="OpenSymbol"/>
      <w:sz w:val="22"/>
      <w:szCs w:val="22"/>
    </w:rPr>
  </w:style>
  <w:style w:type="character" w:customStyle="1" w:styleId="WWCharLFO1LVL7">
    <w:name w:val="WW_CharLFO1LVL7"/>
    <w:qFormat/>
    <w:rPr>
      <w:rFonts w:ascii="OpenSymbol" w:hAnsi="OpenSymbol"/>
      <w:sz w:val="22"/>
      <w:szCs w:val="22"/>
    </w:rPr>
  </w:style>
  <w:style w:type="character" w:customStyle="1" w:styleId="WWCharLFO1LVL8">
    <w:name w:val="WW_CharLFO1LVL8"/>
    <w:qFormat/>
    <w:rPr>
      <w:rFonts w:ascii="OpenSymbol" w:hAnsi="OpenSymbol"/>
      <w:sz w:val="22"/>
      <w:szCs w:val="22"/>
    </w:rPr>
  </w:style>
  <w:style w:type="character" w:customStyle="1" w:styleId="WWCharLFO1LVL9">
    <w:name w:val="WW_CharLFO1LVL9"/>
    <w:qFormat/>
    <w:rPr>
      <w:rFonts w:ascii="OpenSymbol" w:hAnsi="OpenSymbol"/>
      <w:sz w:val="22"/>
      <w:szCs w:val="22"/>
    </w:rPr>
  </w:style>
  <w:style w:type="character" w:customStyle="1" w:styleId="WWCharLFO2LVL1">
    <w:name w:val="WW_CharLFO2LVL1"/>
    <w:qFormat/>
    <w:rPr>
      <w:rFonts w:ascii="Symbol" w:hAnsi="Symbol"/>
    </w:rPr>
  </w:style>
  <w:style w:type="character" w:customStyle="1" w:styleId="WWCharLFO2LVL2">
    <w:name w:val="WW_CharLFO2LVL2"/>
    <w:qFormat/>
    <w:rPr>
      <w:rFonts w:ascii="Courier New" w:hAnsi="Courier New"/>
    </w:rPr>
  </w:style>
  <w:style w:type="character" w:customStyle="1" w:styleId="WWCharLFO2LVL3">
    <w:name w:val="WW_CharLFO2LVL3"/>
    <w:qFormat/>
    <w:rPr>
      <w:rFonts w:ascii="Wingdings" w:hAnsi="Wingdings"/>
    </w:rPr>
  </w:style>
  <w:style w:type="character" w:customStyle="1" w:styleId="WWCharLFO2LVL4">
    <w:name w:val="WW_CharLFO2LVL4"/>
    <w:qFormat/>
    <w:rPr>
      <w:rFonts w:ascii="Wingdings" w:hAnsi="Wingdings"/>
    </w:rPr>
  </w:style>
  <w:style w:type="character" w:customStyle="1" w:styleId="WWCharLFO2LVL5">
    <w:name w:val="WW_CharLFO2LVL5"/>
    <w:qFormat/>
    <w:rPr>
      <w:rFonts w:ascii="Wingdings" w:hAnsi="Wingdings"/>
    </w:rPr>
  </w:style>
  <w:style w:type="character" w:customStyle="1" w:styleId="WWCharLFO2LVL6">
    <w:name w:val="WW_CharLFO2LVL6"/>
    <w:qFormat/>
    <w:rPr>
      <w:rFonts w:ascii="Wingdings" w:hAnsi="Wingdings"/>
    </w:rPr>
  </w:style>
  <w:style w:type="character" w:customStyle="1" w:styleId="WWCharLFO2LVL7">
    <w:name w:val="WW_CharLFO2LVL7"/>
    <w:qFormat/>
    <w:rPr>
      <w:rFonts w:ascii="Wingdings" w:hAnsi="Wingdings"/>
    </w:rPr>
  </w:style>
  <w:style w:type="character" w:customStyle="1" w:styleId="WWCharLFO2LVL8">
    <w:name w:val="WW_CharLFO2LVL8"/>
    <w:qFormat/>
    <w:rPr>
      <w:rFonts w:ascii="Wingdings" w:hAnsi="Wingdings"/>
    </w:rPr>
  </w:style>
  <w:style w:type="character" w:customStyle="1" w:styleId="WWCharLFO2LVL9">
    <w:name w:val="WW_CharLFO2LVL9"/>
    <w:qFormat/>
    <w:rPr>
      <w:rFonts w:ascii="Wingdings" w:hAnsi="Wingdings"/>
    </w:rPr>
  </w:style>
  <w:style w:type="paragraph" w:customStyle="1" w:styleId="Heading">
    <w:name w:val="Heading"/>
    <w:basedOn w:val="Standaard"/>
    <w:next w:val="Plattetekst"/>
    <w:qFormat/>
    <w:pPr>
      <w:keepNext/>
      <w:spacing w:before="240" w:after="120"/>
    </w:pPr>
    <w:rPr>
      <w:rFonts w:ascii="Liberation Sans" w:eastAsia="PingFang SC" w:hAnsi="Liberation Sans" w:cs="Arial Unicode MS"/>
      <w:sz w:val="28"/>
      <w:szCs w:val="28"/>
    </w:rPr>
  </w:style>
  <w:style w:type="paragraph" w:styleId="Plattetekst">
    <w:name w:val="Body Text"/>
    <w:basedOn w:val="Standaard"/>
    <w:pPr>
      <w:spacing w:after="140" w:line="276" w:lineRule="auto"/>
    </w:pPr>
  </w:style>
  <w:style w:type="paragraph" w:styleId="Lijst">
    <w:name w:val="List"/>
    <w:basedOn w:val="Plattetekst"/>
    <w:rPr>
      <w:rFonts w:cs="Arial Unicode MS"/>
      <w:sz w:val="24"/>
    </w:rPr>
  </w:style>
  <w:style w:type="paragraph" w:styleId="Bijschrift">
    <w:name w:val="caption"/>
    <w:basedOn w:val="Standaard"/>
    <w:qFormat/>
    <w:pPr>
      <w:suppressLineNumbers/>
      <w:spacing w:before="120" w:after="120"/>
    </w:pPr>
    <w:rPr>
      <w:rFonts w:cs="Arial Unicode MS"/>
      <w:i/>
      <w:iCs/>
      <w:sz w:val="24"/>
    </w:rPr>
  </w:style>
  <w:style w:type="paragraph" w:customStyle="1" w:styleId="Index">
    <w:name w:val="Index"/>
    <w:basedOn w:val="Standaard"/>
    <w:qFormat/>
    <w:pPr>
      <w:suppressLineNumbers/>
    </w:pPr>
    <w:rPr>
      <w:rFonts w:cs="Arial Unicode MS"/>
      <w:sz w:val="24"/>
    </w:rPr>
  </w:style>
  <w:style w:type="paragraph" w:customStyle="1" w:styleId="HeaderandFooter">
    <w:name w:val="Header and Footer"/>
    <w:basedOn w:val="Standaard"/>
    <w:qFormat/>
    <w:pPr>
      <w:suppressLineNumbers/>
      <w:tabs>
        <w:tab w:val="center" w:pos="4819"/>
        <w:tab w:val="right" w:pos="9638"/>
      </w:tabs>
    </w:pPr>
  </w:style>
  <w:style w:type="paragraph" w:styleId="Koptekst">
    <w:name w:val="header"/>
    <w:basedOn w:val="Standaard"/>
    <w:pPr>
      <w:suppressLineNumbers/>
      <w:tabs>
        <w:tab w:val="center" w:pos="4819"/>
        <w:tab w:val="right" w:pos="9638"/>
      </w:tabs>
    </w:pPr>
  </w:style>
  <w:style w:type="paragraph" w:customStyle="1" w:styleId="TableContents">
    <w:name w:val="Table Contents"/>
    <w:basedOn w:val="Standaard"/>
    <w:qFormat/>
    <w:pPr>
      <w:suppressLineNumbers/>
    </w:pPr>
  </w:style>
  <w:style w:type="paragraph" w:customStyle="1" w:styleId="Stijl1">
    <w:name w:val="Stijl1"/>
    <w:basedOn w:val="Standaard"/>
    <w:qFormat/>
    <w:rPr>
      <w:rFonts w:cs="Times New Roman"/>
      <w:szCs w:val="20"/>
      <w:lang w:eastAsia="nl-NL" w:bidi="ar-SA"/>
    </w:rPr>
  </w:style>
  <w:style w:type="paragraph" w:styleId="Lijstalinea">
    <w:name w:val="List Paragraph"/>
    <w:basedOn w:val="Standaard"/>
    <w:qFormat/>
    <w:pPr>
      <w:ind w:left="708"/>
    </w:pPr>
    <w:rPr>
      <w:rFonts w:cs="Times New Roman"/>
      <w:szCs w:val="20"/>
      <w:lang w:eastAsia="en-US" w:bidi="ar-SA"/>
    </w:rPr>
  </w:style>
  <w:style w:type="paragraph" w:customStyle="1" w:styleId="FrameContents">
    <w:name w:val="Frame Contents"/>
    <w:basedOn w:val="Standaard"/>
    <w:qFormat/>
  </w:style>
  <w:style w:type="paragraph" w:customStyle="1" w:styleId="DocumentMap">
    <w:name w:val="DocumentMap"/>
    <w:qFormat/>
    <w:pPr>
      <w:suppressAutoHyphens/>
    </w:pPr>
    <w:rPr>
      <w:rFonts w:ascii="Times New Roman" w:eastAsia="Cambria Math" w:hAnsi="Times New Roman" w:cs="Times New Roman"/>
      <w:sz w:val="20"/>
      <w:szCs w:val="20"/>
      <w:lang w:eastAsia="nl-NL" w:bidi="ar-SA"/>
    </w:rPr>
  </w:style>
  <w:style w:type="paragraph" w:customStyle="1" w:styleId="standaard0">
    <w:name w:val="standaard"/>
    <w:basedOn w:val="Standaard"/>
    <w:autoRedefine/>
    <w:qFormat/>
    <w:rPr>
      <w:rFonts w:cs="Times New Roman"/>
      <w:szCs w:val="20"/>
      <w:lang w:eastAsia="nl-NL" w:bidi="ar-SA"/>
    </w:rPr>
  </w:style>
  <w:style w:type="paragraph" w:styleId="Voettekst">
    <w:name w:val="footer"/>
    <w:basedOn w:val="HeaderandFooter"/>
  </w:style>
  <w:style w:type="paragraph" w:customStyle="1" w:styleId="TableHeading">
    <w:name w:val="Table Heading"/>
    <w:basedOn w:val="TableContents"/>
    <w:qFormat/>
    <w:pPr>
      <w:jc w:val="center"/>
    </w:pPr>
    <w:rPr>
      <w:b/>
      <w:bCs/>
    </w:rPr>
  </w:style>
  <w:style w:type="numbering" w:customStyle="1" w:styleId="Bullet">
    <w:name w:val="Bullet •"/>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344</Words>
  <Characters>1896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 Haas</cp:lastModifiedBy>
  <cp:revision>2</cp:revision>
  <dcterms:created xsi:type="dcterms:W3CDTF">2022-08-23T13:51:00Z</dcterms:created>
  <dcterms:modified xsi:type="dcterms:W3CDTF">2022-08-23T14:01:00Z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2021-08-27T09:35:30Z</dcterms:created>
  <dc:creator/>
  <dc:description/>
  <dc:language>en-US</dc:language>
  <cp:lastModifiedBy/>
  <dcterms:modified xsi:type="dcterms:W3CDTF">2021-09-23T13:47:18Z</dcterms:modified>
  <cp:revision>15</cp:revision>
  <dc:subject/>
  <dc:title/>
</cp:coreProperties>
</file>